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0FE4" w:rsidRPr="00690FE4" w:rsidRDefault="00690FE4" w:rsidP="00690FE4">
      <w:pPr>
        <w:jc w:val="center"/>
        <w:rPr>
          <w:rFonts w:ascii="Times New Roman" w:hAnsi="Times New Roman" w:cs="Times New Roman"/>
          <w:b/>
          <w:sz w:val="24"/>
          <w:szCs w:val="24"/>
        </w:rPr>
      </w:pPr>
      <w:r w:rsidRPr="00690FE4">
        <w:rPr>
          <w:rFonts w:ascii="Times New Roman" w:hAnsi="Times New Roman" w:cs="Times New Roman"/>
          <w:b/>
          <w:sz w:val="24"/>
          <w:szCs w:val="24"/>
        </w:rPr>
        <w:t>SỞ Y TẾ QUẢNG BÌNH</w:t>
      </w:r>
    </w:p>
    <w:p w:rsidR="00690FE4" w:rsidRPr="00690FE4" w:rsidRDefault="00690FE4" w:rsidP="00690FE4">
      <w:pPr>
        <w:jc w:val="center"/>
        <w:rPr>
          <w:rFonts w:ascii="Times New Roman" w:hAnsi="Times New Roman" w:cs="Times New Roman"/>
          <w:b/>
          <w:sz w:val="24"/>
          <w:szCs w:val="24"/>
        </w:rPr>
      </w:pPr>
      <w:r w:rsidRPr="00690FE4">
        <w:rPr>
          <w:rFonts w:ascii="Times New Roman" w:hAnsi="Times New Roman" w:cs="Times New Roman"/>
          <w:b/>
          <w:sz w:val="24"/>
          <w:szCs w:val="24"/>
        </w:rPr>
        <w:t>BỆNH VIỆN ĐK LỆ THỦY</w:t>
      </w:r>
    </w:p>
    <w:p w:rsidR="00690FE4" w:rsidRPr="00690FE4" w:rsidRDefault="00690FE4" w:rsidP="00690FE4">
      <w:pPr>
        <w:rPr>
          <w:rFonts w:ascii="Times New Roman" w:hAnsi="Times New Roman" w:cs="Times New Roman"/>
          <w:sz w:val="24"/>
          <w:szCs w:val="24"/>
        </w:rPr>
      </w:pPr>
    </w:p>
    <w:p w:rsidR="00690FE4" w:rsidRPr="00690FE4" w:rsidRDefault="00690FE4" w:rsidP="00690FE4">
      <w:pPr>
        <w:rPr>
          <w:rFonts w:ascii="Times New Roman" w:hAnsi="Times New Roman" w:cs="Times New Roman"/>
          <w:sz w:val="24"/>
          <w:szCs w:val="24"/>
        </w:rPr>
      </w:pPr>
    </w:p>
    <w:p w:rsidR="00690FE4" w:rsidRPr="00690FE4" w:rsidRDefault="00690FE4" w:rsidP="00690FE4">
      <w:pPr>
        <w:jc w:val="center"/>
        <w:rPr>
          <w:rFonts w:ascii="Times New Roman" w:hAnsi="Times New Roman" w:cs="Times New Roman"/>
          <w:b/>
          <w:sz w:val="36"/>
          <w:szCs w:val="24"/>
        </w:rPr>
      </w:pPr>
      <w:r w:rsidRPr="00690FE4">
        <w:rPr>
          <w:rFonts w:ascii="Times New Roman" w:hAnsi="Times New Roman" w:cs="Times New Roman"/>
          <w:b/>
          <w:sz w:val="36"/>
          <w:szCs w:val="24"/>
        </w:rPr>
        <w:t>THÔNG TIN THUỐC MỚI 2024</w:t>
      </w:r>
    </w:p>
    <w:p w:rsidR="00690FE4" w:rsidRDefault="00690FE4" w:rsidP="006D099C">
      <w:pPr>
        <w:rPr>
          <w:rFonts w:ascii="Times New Roman" w:hAnsi="Times New Roman" w:cs="Times New Roman"/>
          <w:sz w:val="24"/>
          <w:szCs w:val="24"/>
        </w:rPr>
      </w:pPr>
    </w:p>
    <w:p w:rsidR="006D099C" w:rsidRPr="00690FE4" w:rsidRDefault="00381295" w:rsidP="006D099C">
      <w:pPr>
        <w:rPr>
          <w:rFonts w:ascii="Times New Roman" w:hAnsi="Times New Roman" w:cs="Times New Roman"/>
          <w:b/>
          <w:sz w:val="24"/>
          <w:szCs w:val="24"/>
        </w:rPr>
      </w:pPr>
      <w:r w:rsidRPr="00381295">
        <w:rPr>
          <w:rFonts w:ascii="Times New Roman" w:hAnsi="Times New Roman" w:cs="Times New Roman"/>
          <w:sz w:val="24"/>
          <w:szCs w:val="24"/>
        </w:rPr>
        <w:t>I</w:t>
      </w:r>
      <w:r w:rsidR="006D099C" w:rsidRPr="00381295">
        <w:rPr>
          <w:rFonts w:ascii="Times New Roman" w:hAnsi="Times New Roman" w:cs="Times New Roman"/>
          <w:sz w:val="24"/>
          <w:szCs w:val="24"/>
        </w:rPr>
        <w:t>.</w:t>
      </w:r>
      <w:r w:rsidR="006D099C" w:rsidRPr="00381295">
        <w:rPr>
          <w:rFonts w:ascii="Times New Roman" w:hAnsi="Times New Roman" w:cs="Times New Roman"/>
          <w:sz w:val="24"/>
          <w:szCs w:val="24"/>
        </w:rPr>
        <w:tab/>
      </w:r>
      <w:r w:rsidR="006D099C" w:rsidRPr="00381295">
        <w:rPr>
          <w:rFonts w:ascii="Times New Roman" w:hAnsi="Times New Roman" w:cs="Times New Roman"/>
          <w:b/>
          <w:sz w:val="24"/>
          <w:szCs w:val="24"/>
        </w:rPr>
        <w:t>MIXTARD 30 Flexpen</w:t>
      </w:r>
      <w:bookmarkStart w:id="0" w:name="_GoBack"/>
      <w:bookmarkEnd w:id="0"/>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1.</w:t>
      </w:r>
      <w:r w:rsidRPr="00381295">
        <w:rPr>
          <w:rFonts w:ascii="Times New Roman" w:hAnsi="Times New Roman" w:cs="Times New Roman"/>
          <w:sz w:val="24"/>
          <w:szCs w:val="24"/>
        </w:rPr>
        <w:tab/>
      </w:r>
      <w:r w:rsidRPr="00381295">
        <w:rPr>
          <w:rFonts w:ascii="Times New Roman" w:hAnsi="Times New Roman" w:cs="Times New Roman"/>
          <w:b/>
          <w:sz w:val="24"/>
          <w:szCs w:val="24"/>
        </w:rPr>
        <w:t>Thành phần</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Mỗi ml: Insulin người sinh tổng hợp 100 UI.</w:t>
      </w:r>
    </w:p>
    <w:p w:rsidR="006D099C" w:rsidRPr="00381295" w:rsidRDefault="006D099C" w:rsidP="006D099C">
      <w:pPr>
        <w:rPr>
          <w:rFonts w:ascii="Times New Roman" w:hAnsi="Times New Roman" w:cs="Times New Roman"/>
          <w:b/>
          <w:sz w:val="24"/>
          <w:szCs w:val="24"/>
        </w:rPr>
      </w:pPr>
      <w:r w:rsidRPr="00381295">
        <w:rPr>
          <w:rFonts w:ascii="Times New Roman" w:hAnsi="Times New Roman" w:cs="Times New Roman"/>
          <w:sz w:val="24"/>
          <w:szCs w:val="24"/>
        </w:rPr>
        <w:t>2.</w:t>
      </w:r>
      <w:r w:rsidRPr="00381295">
        <w:rPr>
          <w:rFonts w:ascii="Times New Roman" w:hAnsi="Times New Roman" w:cs="Times New Roman"/>
          <w:sz w:val="24"/>
          <w:szCs w:val="24"/>
        </w:rPr>
        <w:tab/>
      </w:r>
      <w:r w:rsidRPr="00381295">
        <w:rPr>
          <w:rFonts w:ascii="Times New Roman" w:hAnsi="Times New Roman" w:cs="Times New Roman"/>
          <w:b/>
          <w:sz w:val="24"/>
          <w:szCs w:val="24"/>
        </w:rPr>
        <w:t>Mô tả</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Mixtard 30 HM Penfill là hỗn hợp của dung dịch insulin tác dụng nhanh và hỗn dịch insulin tác dụng vừa. Mixtard 30 HM là thuốc tiêm insulin biphasic isophane chứa 30% dung dịch tiêm insulin hòa tan và 70% hỗn dịch tiêm insulin isophane (NPH).</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Ống Mixtard 30 HM Penfill 3 ml được thiết kế dùng với hệ thống tiêm insulin của Novo Nordisk và kim NovoFine. Các ống thuốc chỉ nên được sử dụng kèm với các dụng cụ thích hợp cho phép ống thuốc thực hiện chức năng an toàn và hiệu quả.</w:t>
      </w:r>
    </w:p>
    <w:p w:rsidR="006D099C" w:rsidRPr="00381295" w:rsidRDefault="006D099C" w:rsidP="006D099C">
      <w:pPr>
        <w:rPr>
          <w:rFonts w:ascii="Times New Roman" w:hAnsi="Times New Roman" w:cs="Times New Roman"/>
          <w:b/>
          <w:sz w:val="24"/>
          <w:szCs w:val="24"/>
        </w:rPr>
      </w:pPr>
      <w:r w:rsidRPr="00381295">
        <w:rPr>
          <w:rFonts w:ascii="Times New Roman" w:hAnsi="Times New Roman" w:cs="Times New Roman"/>
          <w:sz w:val="24"/>
          <w:szCs w:val="24"/>
        </w:rPr>
        <w:t>3.</w:t>
      </w:r>
      <w:r w:rsidRPr="00381295">
        <w:rPr>
          <w:rFonts w:ascii="Times New Roman" w:hAnsi="Times New Roman" w:cs="Times New Roman"/>
          <w:sz w:val="24"/>
          <w:szCs w:val="24"/>
        </w:rPr>
        <w:tab/>
      </w:r>
      <w:r w:rsidRPr="00381295">
        <w:rPr>
          <w:rFonts w:ascii="Times New Roman" w:hAnsi="Times New Roman" w:cs="Times New Roman"/>
          <w:b/>
          <w:sz w:val="24"/>
          <w:szCs w:val="24"/>
        </w:rPr>
        <w:t>Dược lực học</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Hiệu quả làm giảm glucose huyết của insulin là do làm quá trình hấp thu glucose dễ dàng theo sau sự gắn kết insulin vào các thụ thể trên tế bào cơ và tế bào mỡ, đồng thời ức chế sản xuất glucose từ gan.</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Mixtard là loại insulin tác dụng kép.</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Thời gian tác động trung bình sau khi tiêm dưới da:</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Bắt đầu: trong vòng nửa giờ.</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Tác động tối đa: từ 2 đến 8 giờ và thời gian tác dụng kéo dài 24h.</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4.</w:t>
      </w:r>
      <w:r w:rsidRPr="00381295">
        <w:rPr>
          <w:rFonts w:ascii="Times New Roman" w:hAnsi="Times New Roman" w:cs="Times New Roman"/>
          <w:sz w:val="24"/>
          <w:szCs w:val="24"/>
        </w:rPr>
        <w:tab/>
      </w:r>
      <w:r w:rsidRPr="00D54C4C">
        <w:rPr>
          <w:rFonts w:ascii="Times New Roman" w:hAnsi="Times New Roman" w:cs="Times New Roman"/>
          <w:b/>
          <w:sz w:val="24"/>
          <w:szCs w:val="24"/>
        </w:rPr>
        <w:t>Dược động học</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Trong máu, insulin có thời gian bán hủy vài phút. Do vậy, thời gian tác động của một chế phẩm insulin được xác định chỉ do đặc tính hấp thu của nó. Quá trình này chịu ảnh hưởng bởi nhiều yếu tố (ví dụ liều insulin, đường tiêm và nơi tiêm), các yếu tố này giải thích sự khác biệt đáng kể trong cùng một bệnh nhân và giữa các bệnh nhân khác nhau.</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5.</w:t>
      </w:r>
      <w:r w:rsidRPr="00381295">
        <w:rPr>
          <w:rFonts w:ascii="Times New Roman" w:hAnsi="Times New Roman" w:cs="Times New Roman"/>
          <w:sz w:val="24"/>
          <w:szCs w:val="24"/>
        </w:rPr>
        <w:tab/>
      </w:r>
      <w:r w:rsidRPr="00D54C4C">
        <w:rPr>
          <w:rFonts w:ascii="Times New Roman" w:hAnsi="Times New Roman" w:cs="Times New Roman"/>
          <w:b/>
          <w:sz w:val="24"/>
          <w:szCs w:val="24"/>
        </w:rPr>
        <w:t>Chỉ định</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Điều trị bệnh đái tháo đường.</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lastRenderedPageBreak/>
        <w:t>6.</w:t>
      </w:r>
      <w:r w:rsidRPr="00381295">
        <w:rPr>
          <w:rFonts w:ascii="Times New Roman" w:hAnsi="Times New Roman" w:cs="Times New Roman"/>
          <w:sz w:val="24"/>
          <w:szCs w:val="24"/>
        </w:rPr>
        <w:tab/>
      </w:r>
      <w:r w:rsidRPr="00D54C4C">
        <w:rPr>
          <w:rFonts w:ascii="Times New Roman" w:hAnsi="Times New Roman" w:cs="Times New Roman"/>
          <w:b/>
          <w:sz w:val="24"/>
          <w:szCs w:val="24"/>
        </w:rPr>
        <w:t>Liều lượng và cách dùng</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Nhu cầu insulin trung bình hàng ngày trong điều trị bệnh đái tháo đường thay đổi từ 0,3 cho đến trên 1,0 UI/kg/ cân nặng/ ngày, phụ thuộc vào mỗi bệnh nhân, ngày tiêm 1 đến 2 lần.</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Ở những bệnh nhân đái tháo đường kiểm soát chuyển hóa tốt sẽ làm chậm lại quá trình xuất hiện và tiến triển các biến chứng của đái tháo đường giai đoạn muộn. Vì vậy, kiểm soát chuyển hóa tốt, bao gồm theo dõi glucose, được khuyến khích.</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Ở những bệnh nhân lớn tuổi, mục đích chủ yếu của điều trị là làm giảm triệu chứng và tránh tình trạng hạ đường huyết.</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Mixtard 30 HM được tiêm dưới da vùng đùi. Nếu thuận tiện, thành bụng, vùng mông hay vùng cơ delta cũng có thể được dùng.</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Hỗn dịch insulin không bao giờ được dùng đường tĩnh mạch.</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Tiêm dưới da vào thành bụng làm cho sự hấp thu nhanh hơn so với các vị trí tiêm khác.</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Tiêm vào nếp gấp da được véo lên để làm giảm thiểu khả năng tiêm vào cơ.</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Sau khi tiêm, nên giữ kim dưới da ít nhất 6 giây. Giữ chặt nút đẩy cho đến khi rút kim khỏi da. Điều này bảo đảm thuốc đã vào hết và hạn chế khả năng máu hay các dịch khác trong cơ thể chảy vào kim hay vào ống insulin.</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Nên thay đổi vị trí tiêm trong vùng tiêm để tránh sự loạn dưỡng mỡ. Để tránh nguy cơ lây bệnh, mỗi ống Mixtard 30 HM Penfill chỉ sử dụng cho một người.</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Insulin pha trộn sẵn thường được dùng một hoặc hai lần mỗi ngày khi mong muốn đạt hiệu quả tác dụng nhanh ban đầu cùng với tác dụng kéo dài hơn. Việc tiêm insulin nên được thực hiện 30 phút trước bữa ăn chính hay bữa ăn phụ có carbohydrate.</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7.</w:t>
      </w:r>
      <w:r w:rsidRPr="00381295">
        <w:rPr>
          <w:rFonts w:ascii="Times New Roman" w:hAnsi="Times New Roman" w:cs="Times New Roman"/>
          <w:sz w:val="24"/>
          <w:szCs w:val="24"/>
        </w:rPr>
        <w:tab/>
      </w:r>
      <w:r w:rsidRPr="00D54C4C">
        <w:rPr>
          <w:rFonts w:ascii="Times New Roman" w:hAnsi="Times New Roman" w:cs="Times New Roman"/>
          <w:b/>
          <w:sz w:val="24"/>
          <w:szCs w:val="24"/>
        </w:rPr>
        <w:t>Hướng dẫn sử dụng cho bệnh nhân</w:t>
      </w:r>
      <w:r w:rsidRPr="00381295">
        <w:rPr>
          <w:rFonts w:ascii="Times New Roman" w:hAnsi="Times New Roman" w:cs="Times New Roman"/>
          <w:sz w:val="24"/>
          <w:szCs w:val="24"/>
        </w:rPr>
        <w:t>:</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Trước khi được lắp vào hệ thống tiêm insulin của Novo Nordisk, ống Penfill phải được đảo lên xuống giữa vị trí A và B để cho viên bi thủy tinh di chuyển từ đầu này sang đầu kia của ống thuốc. Động tác này phải được thực hiện ít nhất 10 lần cho đến khi dịch trở nên trắng đục đồng nhất. Tiêm ngay lập tức.</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Nếu ống Penfill đã được lắp vào hệ thống tiêm insulin của Novo Nordisk, đảo lên xuống cả hệ thống với ống thuốc bên trong ít nhất 10 lần. Làm lại động tác này trước mỗi lần tiêm.</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8.</w:t>
      </w:r>
      <w:r w:rsidRPr="00381295">
        <w:rPr>
          <w:rFonts w:ascii="Times New Roman" w:hAnsi="Times New Roman" w:cs="Times New Roman"/>
          <w:sz w:val="24"/>
          <w:szCs w:val="24"/>
        </w:rPr>
        <w:tab/>
      </w:r>
      <w:r w:rsidRPr="00D54C4C">
        <w:rPr>
          <w:rFonts w:ascii="Times New Roman" w:hAnsi="Times New Roman" w:cs="Times New Roman"/>
          <w:b/>
          <w:sz w:val="24"/>
          <w:szCs w:val="24"/>
        </w:rPr>
        <w:t>Thận trọng</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Liều insulin không thích hợp hoặc điều trị không liên tục, đặc biệt ở bệnh đái tháo đường type 1, có thể dẫn đến tăng đường huyết và nhiễm toan ceton do đái tháo đường. Triệu chứng đầu tiên của tăng đường huyết thường xuất hiện từ từ, kéo dài nhiều giờ hay nhiều ngày. Những triệu chứng này bao gồm khát, tiểu nhiều, buồn nôn, nôn, lơ mơ, da khô và đỏ, khô miệng, mất ngon miệng, hơi thở có mùi aceton.</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lastRenderedPageBreak/>
        <w:t>Ở bệnh đái tháo đường type 1, tăng đường huyết không được điều trị cuối cùng sẽ dẫn tới nhiễm toan ceton do đái tháo đường, rất dễ dẫn đến tử vong.</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Bệnh đi kèm, đặc biệt là tình trạng nhiễm trùng và sốt nhẹ, thường làm tăng nhu cầu insulin của bệnh nhân.</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Suy thận hoặc suy gan có thể làm giảm nhu cầu insulin.</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Việc điều chỉnh liều cũng cần thiết nếu bệnh nhân tăng hoạt động thể lực hay thay đổi chế độ ăn hàng ngày.</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Khi chuyển bệnh nhân sang sử dụng loại insulin khác hay sang nhãn hiệu insulin khác tuyệt đối cần sự hướng dẫn của bác sĩ. Những thay đổi về nồng độ, nhãn hiệu (nhà sản xuất), loại (insulin tác động nhanh, insulin tác dụng vừa, insulin tác dụng kéo dài...), chủng loại (insulin động vật, insulin người) và/hay phương pháp sản xuất (tái kết hợp ADN so với insulin nguồn gốc động vật) có thể dẫn đền sự cần thiết thay đổi liều sử dụng.</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Bệnh nhân chuyển sang dùng Mixtard 30 HM có thể cần thay đổi liều insulin thường dùng. Nếu việc điều chỉnh là cần thiết, điều này có thể thực hiện ở liều đầu tiên hoặc trong vài tuần đầu hoặc vài tháng đầu.Một số bệnh nhân từng có phản ứng hạ đường huyết sau khi chuyển từ insulin nguồn gốc động vật sang insulin người đã ghi nhận rằng những triệu chứng báo hiệu sớm của hạ đường huyết ít mạnh bằng hoặc khác với những triệu chứng hạ đường huyết khi dùng loại insulin trước đây. Các bệnh nhân có mức glucose huyết cải thiện rõ, ví dụ do liệu pháp insulin tích cực, có thể có sự thay đổi những triệu chứng báo trước thường gặp của hạ đường huyết và những bệnh nhân này nên được bác sĩ thông báo trước.Hỗn dịch insulin không được dùng trong bơm insulin để truyền insulin dưới da liên tục (CSII).</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9.</w:t>
      </w:r>
      <w:r w:rsidRPr="00381295">
        <w:rPr>
          <w:rFonts w:ascii="Times New Roman" w:hAnsi="Times New Roman" w:cs="Times New Roman"/>
          <w:sz w:val="24"/>
          <w:szCs w:val="24"/>
        </w:rPr>
        <w:tab/>
      </w:r>
      <w:r w:rsidRPr="00D54C4C">
        <w:rPr>
          <w:rFonts w:ascii="Times New Roman" w:hAnsi="Times New Roman" w:cs="Times New Roman"/>
          <w:b/>
          <w:sz w:val="24"/>
          <w:szCs w:val="24"/>
        </w:rPr>
        <w:t>Quá liều</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Không có sự xác định rõ về quá liều đối với insulin. Tuy nhiên hạ đường huyết có thể phát triển qua các giai đoạn liên tiếp sau:</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Giai đoạn hạ đường huyết nhẹ, có thể được điều trị bằng cách ăn đường glucose hay thức ăn có đường. Vì vậy, bệnh nhân đái tháo đường được khuyên luôn luôn mang theo người vài viên đường, kẹo, bánh biscuits hay nước trái cây có đường.</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Giai đoạn hạ đường huyết nặng, khi bệnh nhân bị bất tỉnh có thể được điều trị bằng glucagon (0,5 đến 1mg) (GlucaGen HypoKit) và nhờ một người đã được hướng dẫn tiêm bắp hay tiêm dưới da hoặc nhờ nhân viên y tế truyền glucose bằng đường tĩnh mạch. Glucose phải được truyền nếu bệnh nhân không đáp ứng với Glucagon trong vòng 10 -15 phút.Khi bệnh nhân tỉnh lại cần cho dùng thức ăn có chứa carbohydrate để tránh hôn mê trở lại.</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10.</w:t>
      </w:r>
      <w:r w:rsidRPr="00381295">
        <w:rPr>
          <w:rFonts w:ascii="Times New Roman" w:hAnsi="Times New Roman" w:cs="Times New Roman"/>
          <w:sz w:val="24"/>
          <w:szCs w:val="24"/>
        </w:rPr>
        <w:tab/>
      </w:r>
      <w:r w:rsidRPr="00D54C4C">
        <w:rPr>
          <w:rFonts w:ascii="Times New Roman" w:hAnsi="Times New Roman" w:cs="Times New Roman"/>
          <w:b/>
          <w:sz w:val="24"/>
          <w:szCs w:val="24"/>
        </w:rPr>
        <w:t>Chống chỉ định</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Hạ đường huyết. Quá mẫn cảm với insulin người hay bất kỳ tá dược nào của thuốc.</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11.</w:t>
      </w:r>
      <w:r w:rsidRPr="00381295">
        <w:rPr>
          <w:rFonts w:ascii="Times New Roman" w:hAnsi="Times New Roman" w:cs="Times New Roman"/>
          <w:sz w:val="24"/>
          <w:szCs w:val="24"/>
        </w:rPr>
        <w:tab/>
      </w:r>
      <w:r w:rsidRPr="00D54C4C">
        <w:rPr>
          <w:rFonts w:ascii="Times New Roman" w:hAnsi="Times New Roman" w:cs="Times New Roman"/>
          <w:b/>
          <w:sz w:val="24"/>
          <w:szCs w:val="24"/>
        </w:rPr>
        <w:t>Sử dụng ở phụ nữ có thai và cho con bú</w:t>
      </w:r>
      <w:r w:rsidRPr="00381295">
        <w:rPr>
          <w:rFonts w:ascii="Times New Roman" w:hAnsi="Times New Roman" w:cs="Times New Roman"/>
          <w:sz w:val="24"/>
          <w:szCs w:val="24"/>
        </w:rPr>
        <w:t xml:space="preserve">      </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lastRenderedPageBreak/>
        <w:t>Không có sự hạn chế về việc điều trị đái tháo đường bằng insulin trong thời kỳ mang thai vì insulin không qua hàng rào nhau thai. Sự kiểm soát tích cực khi điều trị những phụ nữ có thai bị đái tháo đường được khuyến khích trong suốt quá trình mang thai và khi dự định có thai.</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Nhu cầu về insulin thường giảm trong 3 tháng đầu thai kỳ và sẽ tăng dần trong 3 tháng giữa và 3 tháng cuối thai kỳ.</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Sau khi sinh, nhu cầu insulin nhanh chóng trở lại mức độ như trước khi có thai. Không có sự hạn chế về việc điều trị bệnh đái tháo đường bằng insulin trong thời gian cho con bú vì insulin điều trị cho bà mẹ đang nuôi con không gây hại cho em bé. Tuy nhiên, liều insulin có thể cần giảm đi.</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12.</w:t>
      </w:r>
      <w:r w:rsidRPr="00381295">
        <w:rPr>
          <w:rFonts w:ascii="Times New Roman" w:hAnsi="Times New Roman" w:cs="Times New Roman"/>
          <w:sz w:val="24"/>
          <w:szCs w:val="24"/>
        </w:rPr>
        <w:tab/>
      </w:r>
      <w:r w:rsidRPr="00D54C4C">
        <w:rPr>
          <w:rFonts w:ascii="Times New Roman" w:hAnsi="Times New Roman" w:cs="Times New Roman"/>
          <w:b/>
          <w:sz w:val="24"/>
          <w:szCs w:val="24"/>
        </w:rPr>
        <w:t>Tương tác</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Những chất sau đây có thể làm giảm nhu cầu insulin:</w:t>
      </w:r>
      <w:r w:rsidR="00D54C4C">
        <w:rPr>
          <w:rFonts w:ascii="Times New Roman" w:hAnsi="Times New Roman" w:cs="Times New Roman"/>
          <w:sz w:val="24"/>
          <w:szCs w:val="24"/>
        </w:rPr>
        <w:t xml:space="preserve"> </w:t>
      </w:r>
      <w:r w:rsidRPr="00381295">
        <w:rPr>
          <w:rFonts w:ascii="Times New Roman" w:hAnsi="Times New Roman" w:cs="Times New Roman"/>
          <w:sz w:val="24"/>
          <w:szCs w:val="24"/>
        </w:rPr>
        <w:t>Các tác nhân gây hạ đường huyết dạng uống (OHA), octreotide, chất ức chế men monoamine oxidase (MAOI), tác nhân chẹn beta không chọn lọc, chất ức chế men chuyển angiotensin (ACE), salicylate, rượu và steroid đồng hóa.</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Những chất sau đây có thể làm tăng nhu cầu insulin:</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Thuốc ngừa thai uống, thiazide, glucocorticoid, hormon tuyến giáp, chất giống giao cảm, danazol.</w:t>
      </w:r>
      <w:r w:rsidR="00D54C4C">
        <w:rPr>
          <w:rFonts w:ascii="Times New Roman" w:hAnsi="Times New Roman" w:cs="Times New Roman"/>
          <w:sz w:val="24"/>
          <w:szCs w:val="24"/>
        </w:rPr>
        <w:t xml:space="preserve"> </w:t>
      </w:r>
      <w:r w:rsidRPr="00381295">
        <w:rPr>
          <w:rFonts w:ascii="Times New Roman" w:hAnsi="Times New Roman" w:cs="Times New Roman"/>
          <w:sz w:val="24"/>
          <w:szCs w:val="24"/>
        </w:rPr>
        <w:t>Các tác nhân chẹn beta có thể che lấp các triệu chứng của hạ đường huyế</w:t>
      </w:r>
      <w:r w:rsidR="00D54C4C">
        <w:rPr>
          <w:rFonts w:ascii="Times New Roman" w:hAnsi="Times New Roman" w:cs="Times New Roman"/>
          <w:sz w:val="24"/>
          <w:szCs w:val="24"/>
        </w:rPr>
        <w:t>t</w:t>
      </w:r>
      <w:r w:rsidRPr="00381295">
        <w:rPr>
          <w:rFonts w:ascii="Times New Roman" w:hAnsi="Times New Roman" w:cs="Times New Roman"/>
          <w:sz w:val="24"/>
          <w:szCs w:val="24"/>
        </w:rPr>
        <w:t>.</w:t>
      </w:r>
      <w:r w:rsidR="00D54C4C">
        <w:rPr>
          <w:rFonts w:ascii="Times New Roman" w:hAnsi="Times New Roman" w:cs="Times New Roman"/>
          <w:sz w:val="24"/>
          <w:szCs w:val="24"/>
        </w:rPr>
        <w:t xml:space="preserve"> </w:t>
      </w:r>
      <w:r w:rsidRPr="00381295">
        <w:rPr>
          <w:rFonts w:ascii="Times New Roman" w:hAnsi="Times New Roman" w:cs="Times New Roman"/>
          <w:sz w:val="24"/>
          <w:szCs w:val="24"/>
        </w:rPr>
        <w:t>Rượu có thể tăng cường và kéo dài tác dụng hạ đường huyết của insulin.</w:t>
      </w:r>
    </w:p>
    <w:p w:rsidR="006D099C" w:rsidRPr="00D54C4C" w:rsidRDefault="006D099C" w:rsidP="006D099C">
      <w:pPr>
        <w:rPr>
          <w:rFonts w:ascii="Times New Roman" w:hAnsi="Times New Roman" w:cs="Times New Roman"/>
          <w:b/>
          <w:sz w:val="24"/>
          <w:szCs w:val="24"/>
        </w:rPr>
      </w:pPr>
      <w:r w:rsidRPr="00381295">
        <w:rPr>
          <w:rFonts w:ascii="Times New Roman" w:hAnsi="Times New Roman" w:cs="Times New Roman"/>
          <w:sz w:val="24"/>
          <w:szCs w:val="24"/>
        </w:rPr>
        <w:t>13.</w:t>
      </w:r>
      <w:r w:rsidRPr="00381295">
        <w:rPr>
          <w:rFonts w:ascii="Times New Roman" w:hAnsi="Times New Roman" w:cs="Times New Roman"/>
          <w:sz w:val="24"/>
          <w:szCs w:val="24"/>
        </w:rPr>
        <w:tab/>
      </w:r>
      <w:r w:rsidRPr="00D54C4C">
        <w:rPr>
          <w:rFonts w:ascii="Times New Roman" w:hAnsi="Times New Roman" w:cs="Times New Roman"/>
          <w:b/>
          <w:sz w:val="24"/>
          <w:szCs w:val="24"/>
        </w:rPr>
        <w:t>Tương kỵ</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Insulin nói chung chỉ nên được dùng chung với những hợp chất được xem là tương hợp. Hỗn dịch insulin không được trộn chung với dịch truyền.</w:t>
      </w:r>
    </w:p>
    <w:p w:rsidR="006D099C" w:rsidRPr="00D54C4C" w:rsidRDefault="006D099C" w:rsidP="006D099C">
      <w:pPr>
        <w:rPr>
          <w:rFonts w:ascii="Times New Roman" w:hAnsi="Times New Roman" w:cs="Times New Roman"/>
          <w:b/>
          <w:sz w:val="24"/>
          <w:szCs w:val="24"/>
        </w:rPr>
      </w:pPr>
      <w:r w:rsidRPr="00381295">
        <w:rPr>
          <w:rFonts w:ascii="Times New Roman" w:hAnsi="Times New Roman" w:cs="Times New Roman"/>
          <w:sz w:val="24"/>
          <w:szCs w:val="24"/>
        </w:rPr>
        <w:t>14.</w:t>
      </w:r>
      <w:r w:rsidRPr="00381295">
        <w:rPr>
          <w:rFonts w:ascii="Times New Roman" w:hAnsi="Times New Roman" w:cs="Times New Roman"/>
          <w:sz w:val="24"/>
          <w:szCs w:val="24"/>
        </w:rPr>
        <w:tab/>
      </w:r>
      <w:r w:rsidRPr="00D54C4C">
        <w:rPr>
          <w:rFonts w:ascii="Times New Roman" w:hAnsi="Times New Roman" w:cs="Times New Roman"/>
          <w:b/>
          <w:sz w:val="24"/>
          <w:szCs w:val="24"/>
        </w:rPr>
        <w:t>Tác dụng ngoại ý</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Hạ đường huyết là một tác dụng không mong muốn thường xảy ra trong điều trị bằng insulin. Những triệu chứng của hạ đường huyết thường xuất hiện đột ngột, bao gồm đổ mồ hôi, da xanh và lạnh, bồn chồn, run, cảm giác lo âu, mệt mỏi bất thường, hay nhầm lẫn, khó tập trung, lơ mơ, đói dữ dội, giảm thị lực tạm thời, nhức đầu, buồn nôn và đánh trống ngực. Hạ đường huyết nghiêm trọng có thể dẫn đến bất tỉnh và có thể làm suy chức năng não tạm thời hay vĩnh viễn hoặc thậm chí tử vong. Phù và bất thường về khúc xạ có thể xảy ra khi bắt đầu dùng liệu pháp insulin. Những triệu chứng này thường thoáng qua. Các phản ứng quá mẫn cảm tại chỗ (đỏ, sưng và ngứa ở chỗ tiêm) có thể có trong khi điều trị với insulin. Những phản ứng này thường thoáng qua và biến mất khi tiếp tục điều trị. Các phản ứng quá mẫn cảm toàn thân thỉnh thoảng xuất hiện. Những phản ứng này nghiêm trọng hơn và có thể gây phát ban toàn thân, ngứa, đổ mồ hôi, rối loạn tiêu hóa, phù mạch thần kinh, khó thở, đánh trống ngực và hạ huyết áp. Những phản ứng quá mẫn cảm toàn thân rất dễ đe dọa tính mạng. Loạn dưỡng mỡ có thể thấy ở chỗ tiêm do không thay đổi vị trí trong vùng tiêm.</w:t>
      </w:r>
    </w:p>
    <w:p w:rsidR="006D099C" w:rsidRPr="00E14141" w:rsidRDefault="006D099C" w:rsidP="006D099C">
      <w:pPr>
        <w:rPr>
          <w:rFonts w:ascii="Times New Roman" w:hAnsi="Times New Roman" w:cs="Times New Roman"/>
          <w:b/>
          <w:sz w:val="24"/>
          <w:szCs w:val="24"/>
        </w:rPr>
      </w:pPr>
      <w:r w:rsidRPr="00381295">
        <w:rPr>
          <w:rFonts w:ascii="Times New Roman" w:hAnsi="Times New Roman" w:cs="Times New Roman"/>
          <w:sz w:val="24"/>
          <w:szCs w:val="24"/>
        </w:rPr>
        <w:t>15.</w:t>
      </w:r>
      <w:r w:rsidRPr="00381295">
        <w:rPr>
          <w:rFonts w:ascii="Times New Roman" w:hAnsi="Times New Roman" w:cs="Times New Roman"/>
          <w:sz w:val="24"/>
          <w:szCs w:val="24"/>
        </w:rPr>
        <w:tab/>
      </w:r>
      <w:r w:rsidRPr="00E14141">
        <w:rPr>
          <w:rFonts w:ascii="Times New Roman" w:hAnsi="Times New Roman" w:cs="Times New Roman"/>
          <w:b/>
          <w:sz w:val="24"/>
          <w:szCs w:val="24"/>
        </w:rPr>
        <w:t>Bảo quản</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Khi không sử dụng, ống Mixtard 30 HM Penfill nên được bảo quản trong tủ lạnh ở nhiệt độ 2-8 độ C (không để quá gần ngăn đá).</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lastRenderedPageBreak/>
        <w:t>Khi sử dụng, ống Mixtard 30 HM Penfill không nên giữ ở tủ lạnh. Ống Mixtard 30 HM Penfill có thể dùng trong hệ thống tiêm insulin của Novo Nordisk hay bảo quản ở nhiệt độ phòng (lên đến 30°C) cho đến 6 tuần. Giữ thuốc tránh ánh sáng. Trước khi sử dụng, kiểm tra lại ống Penfill phải còn nguyên vẹn (ví dụ không bị nứt). Không sử dụng ống Penfill nếu thấy bất kỳ hư hỏng nào hoặc nếu phần thấy rõ của nút cao su ở đuôi ống thuốc có bề rộng tương đương với bề rộng của dải mã vạch màu trắng.</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Tháo kim sau mỗi lần tiêm, nếu không thì sự thay đổi nhiệt độ có thể làm thuốc rỉ ra ngoài qua kim và làm tăng nồng độ insulin.</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Không bơm Mixtard 30 HM trở lại ống Penfill đã dùng hết.</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Không được để Mixtard 30 HM Penfill gần nguồn nhiệt hay tia nắng trực tiếp và không được làm đông lạnh. Không được dùng sản phẩm insulin đã bị đông lạnh.</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Không sử dụng ống Mixtard 30 HM Penfill nếu dung dịch không trắng và đục đồng nhất sau khi lắc.</w:t>
      </w:r>
    </w:p>
    <w:p w:rsidR="006D099C" w:rsidRPr="00381295" w:rsidRDefault="006D099C" w:rsidP="006D099C">
      <w:pPr>
        <w:rPr>
          <w:rFonts w:ascii="Times New Roman" w:hAnsi="Times New Roman" w:cs="Times New Roman"/>
          <w:sz w:val="24"/>
          <w:szCs w:val="24"/>
        </w:rPr>
      </w:pPr>
    </w:p>
    <w:p w:rsidR="006D099C" w:rsidRPr="00E14141" w:rsidRDefault="00E14141" w:rsidP="006D099C">
      <w:pPr>
        <w:rPr>
          <w:rFonts w:ascii="Times New Roman" w:hAnsi="Times New Roman" w:cs="Times New Roman"/>
          <w:b/>
          <w:sz w:val="24"/>
          <w:szCs w:val="24"/>
        </w:rPr>
      </w:pPr>
      <w:r>
        <w:rPr>
          <w:rFonts w:ascii="Times New Roman" w:hAnsi="Times New Roman" w:cs="Times New Roman"/>
          <w:sz w:val="24"/>
          <w:szCs w:val="24"/>
        </w:rPr>
        <w:t>II</w:t>
      </w:r>
      <w:r w:rsidR="006D099C" w:rsidRPr="00381295">
        <w:rPr>
          <w:rFonts w:ascii="Times New Roman" w:hAnsi="Times New Roman" w:cs="Times New Roman"/>
          <w:sz w:val="24"/>
          <w:szCs w:val="24"/>
        </w:rPr>
        <w:t>.</w:t>
      </w:r>
      <w:r w:rsidR="006D099C" w:rsidRPr="00381295">
        <w:rPr>
          <w:rFonts w:ascii="Times New Roman" w:hAnsi="Times New Roman" w:cs="Times New Roman"/>
          <w:sz w:val="24"/>
          <w:szCs w:val="24"/>
        </w:rPr>
        <w:tab/>
      </w:r>
      <w:r w:rsidR="006D099C" w:rsidRPr="00E14141">
        <w:rPr>
          <w:rFonts w:ascii="Times New Roman" w:hAnsi="Times New Roman" w:cs="Times New Roman"/>
          <w:b/>
          <w:sz w:val="24"/>
          <w:szCs w:val="24"/>
        </w:rPr>
        <w:t>MEDOCLAV 625MG</w:t>
      </w:r>
    </w:p>
    <w:p w:rsidR="006D099C" w:rsidRPr="00E14141" w:rsidRDefault="006D099C" w:rsidP="00E14141">
      <w:pPr>
        <w:pStyle w:val="ListParagraph"/>
        <w:numPr>
          <w:ilvl w:val="0"/>
          <w:numId w:val="1"/>
        </w:numPr>
        <w:rPr>
          <w:rFonts w:ascii="Times New Roman" w:hAnsi="Times New Roman" w:cs="Times New Roman"/>
          <w:b/>
          <w:sz w:val="24"/>
          <w:szCs w:val="24"/>
        </w:rPr>
      </w:pPr>
      <w:r w:rsidRPr="00E14141">
        <w:rPr>
          <w:rFonts w:ascii="Times New Roman" w:hAnsi="Times New Roman" w:cs="Times New Roman"/>
          <w:b/>
          <w:sz w:val="24"/>
          <w:szCs w:val="24"/>
        </w:rPr>
        <w:t>Dạng thuốc và hàm lượng:</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 xml:space="preserve">Mỗi viên nén bao phim chứa </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Amoxicillin: 500mg</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Kali clavulanate tương đương acid clavulanic 125mg</w:t>
      </w:r>
    </w:p>
    <w:p w:rsidR="006D099C" w:rsidRPr="00E14141" w:rsidRDefault="006D099C" w:rsidP="00E14141">
      <w:pPr>
        <w:pStyle w:val="ListParagraph"/>
        <w:numPr>
          <w:ilvl w:val="0"/>
          <w:numId w:val="1"/>
        </w:numPr>
        <w:rPr>
          <w:rFonts w:ascii="Times New Roman" w:hAnsi="Times New Roman" w:cs="Times New Roman"/>
          <w:b/>
          <w:sz w:val="24"/>
          <w:szCs w:val="24"/>
        </w:rPr>
      </w:pPr>
      <w:r w:rsidRPr="00E14141">
        <w:rPr>
          <w:rFonts w:ascii="Times New Roman" w:hAnsi="Times New Roman" w:cs="Times New Roman"/>
          <w:b/>
          <w:sz w:val="24"/>
          <w:szCs w:val="24"/>
        </w:rPr>
        <w:t>Dược lý và cơ chế tác dụng</w:t>
      </w:r>
    </w:p>
    <w:p w:rsidR="006D099C" w:rsidRPr="00381295" w:rsidRDefault="00E14141" w:rsidP="006D099C">
      <w:pPr>
        <w:rPr>
          <w:rFonts w:ascii="Times New Roman" w:hAnsi="Times New Roman" w:cs="Times New Roman"/>
          <w:sz w:val="24"/>
          <w:szCs w:val="24"/>
        </w:rPr>
      </w:pPr>
      <w:r>
        <w:rPr>
          <w:rFonts w:ascii="Times New Roman" w:hAnsi="Times New Roman" w:cs="Times New Roman"/>
          <w:sz w:val="24"/>
          <w:szCs w:val="24"/>
        </w:rPr>
        <w:t xml:space="preserve">     </w:t>
      </w:r>
      <w:r w:rsidR="006D099C" w:rsidRPr="00381295">
        <w:rPr>
          <w:rFonts w:ascii="Times New Roman" w:hAnsi="Times New Roman" w:cs="Times New Roman"/>
          <w:sz w:val="24"/>
          <w:szCs w:val="24"/>
        </w:rPr>
        <w:t>Amoxicilin và kali clavulanat là một phối hợp có tác dụng diệt khuấn. Sự phối hợp này không làm thay đổi cơ chế tác dụng của amoxicilin (ức chế tổng hợp peptidoglycan màng tế bào vi khuấn) mà còn có tác dụng hiệp đồng diệt khuấn, mở rộng phổ tác dụng của amoxicillin chống lại nhiều vi khuấn tạo ra beta-lactamase trước đây kháng lại amoxicilin đơn độc, do acid clavulanic có ái lực cao và gắn vào beta-lactamase của vi khuấn để ức chế.</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 xml:space="preserve">Acid clavulanic thu được từ sự lên men của Streptomyces clavuligerus, có cấu trúc beta-lactam gần giống nhân penicilin, bản thân có tác dụng kháng khuấn rất yếu đồng thời có khả năng ức chế beta-lactamase do phần lớn các vi khuấn Gram âm và Staphylococcus sinh ra, nhưng Staphylococcus kháng methicilin/ oxacilin phải coi là đã kháng amoxicilin và acid clavulanic. In vitro, acid clavulanic thường ức chế penicilinase tụ cầu, betalacta- mase tạo ra do Bacteroides fragilis, Moraxella catarrhalis (tên trước đây là Branhamella catarrhalis), và các beta-lactamase phân loại theo Richmond và Sykes typ II, III, IV và V Acid clavulanic có thể ức chế một vài loại cephalosporinase tạo ra do Proteus vulgaris, Bacteroides fragilis và Burkholderia cepacia (tên trước đây là Pseudomonas cepacia) nhưng thường không ức chế cephalosporinase truyền qua nhiễm sắc thể Richmond-Sykes typ I; do đó nhiều chủng Citrobacter, Enterobacter Morganella, Serratia spp., và Pseudomonas aeruginosa vẫn kháng thuốc. Một số beta-lactamase phổ rộng </w:t>
      </w:r>
      <w:r w:rsidRPr="00381295">
        <w:rPr>
          <w:rFonts w:ascii="Times New Roman" w:hAnsi="Times New Roman" w:cs="Times New Roman"/>
          <w:sz w:val="24"/>
          <w:szCs w:val="24"/>
        </w:rPr>
        <w:lastRenderedPageBreak/>
        <w:t>truyền qua plasmid của Klebsiella pneumoniae, một số Enterobacteriaceae khác và Pseudomonas aeruginosa cũng không bị acid clavulanic ức chế.</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Acid clavulanic có thể thấm qua thành tế bào vi khuấn, do đó có thể ức chế enzym ở ngoài tế bào và enzym gắn vào tế bào. Cách tác dụng thay đổi tùy theo enzym bị ức chế, nhưng acid clavulanic thường tác dụng như một chất ức chế có tính tranh chấp và không thuận nghịch.</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Phổ diệt khuấn của thuốc bao gồm:</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Vi khuẩn Gram dương:</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Loại ưa khí: Streptococcus faecalis, Streptococcus pneumoniae, Streptococcus pyogenes, Streptococcus viridans, Staphylococcus aureus, Corynebacterium,. Bacillus anthracis, Listeria monocyto-genes.</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Loại kỵ khí: Các loài Clostridium, Peptococcus, Peptostreptococcus. Vi khuẩn Gram âm: Loại ưa khí: Haemophilus influenzae, Moraxella catarrhalis, Escherichia coli, Proteus mirabilis, Proteus vulgaris, các loài Klebsiella, Salmonella, Shigella, Bordetella, Neisseria gonorrhoeae, Neisseria meningitidis, Vibrio cholerae, Pasteurella multocida.</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Loại kỵ khí: Các loài Bacteroides kể cả B. fragilis. Như vậy amoxicilin và kali clavulanat có tác dụng đối với cả hai loại vi khuấn tạo và không tạo beta-lactamase nhạy cảm với thuốc, nhưng nhiều nhà lâm sàng cho rằng để điều trị vi khuấn không tạo beta- lactamase thì nên ưu tiên dùng amoxicilin đơn độc, dành thuốc phối hợp cho các loại tạo beta-lactamase nhạy cảm. Do thuốc có nguy cơ gây vàng da ứ mật, nên không được dùng thuốc quá 14 ngày. Trước khi bắt đầu điều trị bằng thuốc phối hợp, phải xác định vi khuấn gây bệnh và làm kháng sinh đồ. Trong khi chờ kết quả, cho điều trị bằng thuốc phối hợp nếu nghi ngờ do vi khuấn tạo beta- lactamase. Nếu kết quả xét nghiệm cho thấy kháng thuốc, phải ngừng ngay. Nếu thấy do vi khuấn không tạo beta-lactamase nhạy cảm với aminopenicilin, một số thầy thuốc khuyên nên chuyển sang dùng aminopenicilin nhưng thực tế khó thực hiện.</w:t>
      </w:r>
    </w:p>
    <w:p w:rsidR="006D099C" w:rsidRPr="00E14141" w:rsidRDefault="006D099C" w:rsidP="00E14141">
      <w:pPr>
        <w:pStyle w:val="ListParagraph"/>
        <w:numPr>
          <w:ilvl w:val="0"/>
          <w:numId w:val="1"/>
        </w:numPr>
        <w:rPr>
          <w:rFonts w:ascii="Times New Roman" w:hAnsi="Times New Roman" w:cs="Times New Roman"/>
          <w:b/>
          <w:sz w:val="24"/>
          <w:szCs w:val="24"/>
        </w:rPr>
      </w:pPr>
      <w:r w:rsidRPr="00E14141">
        <w:rPr>
          <w:rFonts w:ascii="Times New Roman" w:hAnsi="Times New Roman" w:cs="Times New Roman"/>
          <w:sz w:val="24"/>
          <w:szCs w:val="24"/>
        </w:rPr>
        <w:t xml:space="preserve"> </w:t>
      </w:r>
      <w:r w:rsidRPr="00E14141">
        <w:rPr>
          <w:rFonts w:ascii="Times New Roman" w:hAnsi="Times New Roman" w:cs="Times New Roman"/>
          <w:b/>
          <w:sz w:val="24"/>
          <w:szCs w:val="24"/>
        </w:rPr>
        <w:t>Dược động học</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Amoxicilin và kali clavulanat đều hấp thu dễ dàng qua đường uống và cùng bền vững với dịch acid của dạ dày. Nồng độ của amoxicilin và acid clavulanic trong huyết thanh đạt tối đa sau 1 - 2,5 giờ uống liều đơn dạng thuốc viên thông thường.</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Kali clavulanat không làm ảnh hưởng tới dược động học của amoxicilin, tuy nhiên amoxicilin có thể làm tăng hấp thu qua đường tiêu hóa và thải trừ qua đường niệu đối với kali clavulanat so với khi dùng kali clavulanat đơn độc.  Sau khi uống thuốc viên liều 500 mg amoxicilin và 125 mg acid clavulanic, nồng độ trong huyết thanh đạt 6,5 - 9,7 microgam/ml với amoxicilin và 2,1 - 3,9 microgam/ml đối với acid clavulanic. Sự hấp thu của thuốc không bị ảnh hưởng bởi thức ăn với dạng chế phấm phối hợp thông thường. Tuy nhiên, dạng viên giải phóng kéo dài cho hấp thu tốt nhất khi uống thuốc ngay trước bữa ăn. Đồng thời không nên uống dạng viên giải phóng kéo dài với bữa ăn có nhiều chất béo do hấp thu clavulanat bị giảm và cũng không nên uống dạng thuốc này trong khi đói do hấp thu amoxicilin bị giảm.</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lastRenderedPageBreak/>
        <w:t>Sau khi uống, cả amoxicilin và acid clavulanic đều phân bố vào phổi, dịch màng phổi và dịch màng bụng, đi qua nhau thai. Một lượng thuốc nhỏ được tìm thấy trong đờm, nước bọt cũng như trong sữa mẹ. Khi màng não không bị viêm, nồng độ thuốc trong dịch não tủy rất thấp, tuy nhiên lượng thuốc lớn hơn đạt được khi màng não bị viêm. Amoxicilin liên kết với protein huyết thanh khoảng 17 - 20% và acid clavulanic được thông báo liên kết với protein khoảng 22 - 30%.</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Khả dụng sinh học đường uống của amoxicilin là 90% và của acid clavulanic là 75%. Nửa đời sinh học của amoxicilin là 1 - 2 giờ và của acid clavulanic là khoảng 1 giờ.</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Sau khi uống liều đơn amoxicilin và kali clavulanat ở người lớn có chức năng thận bình thường, 50 - 73% amoxicilin và 25 - 45% acid clavulanic được thải qua nước tiểu dưới dạng không đổi trong vòng 6 đến 8 giờ. Ớ người suy thận, nồng độ huyết thanh của cả amoxicilin và acid clavulanic đều cao hơn cũng như nửa đời thải trừ cũng kéo dài hơn. Ớ bệnh nhân với thanh thải creatinin 9 ml/phút, nửa đời của amoxicilin và acid clavulanic lần lượt là 7,5 và 4,3 giờ. Cả amoxicilin và acid clavulanic đều bị loại bỏ khi thấm phân máu. Khi thấm phân màng bụng, acid clavulanic cũng bị loại bỏ trong khi chỉ một lượng rất nhỏ amoxicilin bị loại bỏ.</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Probenecid kéo dài thời gian đào thải của amoxicilin nhưng không ảnh hưởng đến sự đào thải của acid clavulanic.</w:t>
      </w:r>
    </w:p>
    <w:p w:rsidR="006D099C" w:rsidRPr="00E14141" w:rsidRDefault="006D099C" w:rsidP="00E14141">
      <w:pPr>
        <w:pStyle w:val="ListParagraph"/>
        <w:numPr>
          <w:ilvl w:val="0"/>
          <w:numId w:val="1"/>
        </w:numPr>
        <w:rPr>
          <w:rFonts w:ascii="Times New Roman" w:hAnsi="Times New Roman" w:cs="Times New Roman"/>
          <w:b/>
          <w:sz w:val="24"/>
          <w:szCs w:val="24"/>
        </w:rPr>
      </w:pPr>
      <w:r w:rsidRPr="00E14141">
        <w:rPr>
          <w:rFonts w:ascii="Times New Roman" w:hAnsi="Times New Roman" w:cs="Times New Roman"/>
          <w:b/>
          <w:sz w:val="24"/>
          <w:szCs w:val="24"/>
        </w:rPr>
        <w:t>Chỉ định</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Các chế phấm amoxicilin và kali clavulanat được dùng để điều trị trong thời gian ngắn (dưới 14 ngày) các trường hợp nhiễm khuấn gây ra bởi các chủng sản sinh ra beta-lactamase không đáp ứng với điều trị bằng các aminopenicilin đơn độc:</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Nhiễm khuấn nặng đường hô hấp trên: Viêm amidan, viêm xoang, viêm tai giữa đã được điều trị bằng các kháng sinh thông thường nhưng không đỡ.</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Nhiễm khuấn đường hô hấp dưới bởi các chủng H. influenzae và Moraxella catarrhalis (tên trước đây: Branhamella catarrhalis) sản sinh beta-lactamase: Viêm phế quản cấp và mạn, viêm phổi - phế quản.</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Nhiễm khuấn nặng đường tiết niệu - sinh dục bởi các chủng E. coli, Klebsiella và Enterobacter sản sinh beta-lactamase nhạy cảm: Viêm bàng quang, viêm niệu đạo, viêm bể thận (nhiễm khuấn đường sinh dục nữ).</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Nhiễm khuấn da và mô mềm: Mụn nhọt, côn trùng đốt, áp xe, nhiễm khuấn vết thương, viêm mô tế bào.</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Nhiễm khuấn xương và khớp: Viêm tủy xương.</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Nhiễm khuấn nha khoa: Áp xe ổ răng.</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Nhiễm khuấn khác: Nhiễm khuấn do sấy thai, nhiễm khuấn sản, nhiễm khuấn trong ổ bụng.</w:t>
      </w:r>
    </w:p>
    <w:p w:rsidR="006D099C" w:rsidRPr="00E14141" w:rsidRDefault="006D099C" w:rsidP="00E14141">
      <w:pPr>
        <w:pStyle w:val="ListParagraph"/>
        <w:numPr>
          <w:ilvl w:val="0"/>
          <w:numId w:val="1"/>
        </w:numPr>
        <w:rPr>
          <w:rFonts w:ascii="Times New Roman" w:hAnsi="Times New Roman" w:cs="Times New Roman"/>
          <w:b/>
          <w:sz w:val="24"/>
          <w:szCs w:val="24"/>
        </w:rPr>
      </w:pPr>
      <w:r w:rsidRPr="00E14141">
        <w:rPr>
          <w:rFonts w:ascii="Times New Roman" w:hAnsi="Times New Roman" w:cs="Times New Roman"/>
          <w:b/>
          <w:sz w:val="24"/>
          <w:szCs w:val="24"/>
        </w:rPr>
        <w:t>Chống chỉ định</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Dị ứng với nhóm beta-lactam (các penicilin và cephalosporin). Cần chú ý đến khả năng dị ứng chéo với các kháng sinh beta-lactam như các cephalosporin.</w:t>
      </w:r>
    </w:p>
    <w:p w:rsidR="006D099C" w:rsidRPr="00E14141" w:rsidRDefault="006D099C" w:rsidP="00E14141">
      <w:pPr>
        <w:pStyle w:val="ListParagraph"/>
        <w:numPr>
          <w:ilvl w:val="0"/>
          <w:numId w:val="1"/>
        </w:numPr>
        <w:rPr>
          <w:rFonts w:ascii="Times New Roman" w:hAnsi="Times New Roman" w:cs="Times New Roman"/>
          <w:b/>
          <w:sz w:val="24"/>
          <w:szCs w:val="24"/>
        </w:rPr>
      </w:pPr>
      <w:r w:rsidRPr="00E14141">
        <w:rPr>
          <w:rFonts w:ascii="Times New Roman" w:hAnsi="Times New Roman" w:cs="Times New Roman"/>
          <w:b/>
          <w:sz w:val="24"/>
          <w:szCs w:val="24"/>
        </w:rPr>
        <w:lastRenderedPageBreak/>
        <w:t>Thận trọng</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Chú ý đến người già, người bệnh có tiền sử vàng da/rối loạn chức năng gan do dùng amoxicilin và kali clavulanat vì acid clavulanic gây tăng nguy cơ ứ mật trong gan.</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Các dấu hiệu và triệu chứng vàng da ứ mật tuy ít xảy ra khi dùng thuốc nhưng có thể nặng. Tuy nhiên những triệu chứng đó thường hồi phục được và sẽ hết sau 6 tuần ngừng điều trị.</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Có thể xảy ra phản ứng quá mẫn trầm trọng ở những người bệnh có tiền sử dị ứng với penicilin hoặc các dị nguyên khác, nên trước khi bắt đầu điều trị bằng amoxicilin cần phải điều tra kỹ tiền sử dị ứng với penicilin, cephalosporin và các dị nguyên khác.</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Người suy thận trung bình hay nặng cần chú ý điều chỉnh liều dùng (xem phần liều dùng).</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Người dùng amoxicilin bị mấn đỏ kèm sốt nổi hạch.</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Dùng thuốc kéo dài đôi khi làm phát triển các vi khuấn kháng thuốc.</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Phải định kỳ kiểm tra chỉ số huyết học, chức năng gan, thận trong suốt quá trình điều trị. Cần có chấn đoán phân biệt để phát hiện các trường hợp tiêu chảy do C. difficile và viêm đại tràng có màng giả. Có nguy cơ phát ban cao ở bệnh nhân tăng bạch cầu đơn nhân nhiễm khuẩn.</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Bệnh nhân bị phenylketon niệu và bệnh nhân cần kiểm soát lượng phenylalanin phải thận trọng khi dùng viên nhai hoặc bột pha hỗn dịch có chứa aspartam do aspartam chuyển hóa trong đường tiêu hóa thành phenylalanin.</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Khi tiêm tĩnh mạch liều cao cần duy trì cân bằng lượng dịch xuất nhập để giảm thiểu hiện tượng sỏi - niệu. Phải kiểm tra thường xuyên các ống thông bàng quang để tránh hiện tượng kết tủa gây tắc khi có nồng độ chế phấm cao trong nước tiểu ở nhiệt độ thường.</w:t>
      </w:r>
    </w:p>
    <w:p w:rsidR="006D099C" w:rsidRPr="00E14141" w:rsidRDefault="006D099C" w:rsidP="00E14141">
      <w:pPr>
        <w:pStyle w:val="ListParagraph"/>
        <w:numPr>
          <w:ilvl w:val="0"/>
          <w:numId w:val="1"/>
        </w:numPr>
        <w:rPr>
          <w:rFonts w:ascii="Times New Roman" w:hAnsi="Times New Roman" w:cs="Times New Roman"/>
          <w:b/>
          <w:sz w:val="24"/>
          <w:szCs w:val="24"/>
        </w:rPr>
      </w:pPr>
      <w:r w:rsidRPr="00E14141">
        <w:rPr>
          <w:rFonts w:ascii="Times New Roman" w:hAnsi="Times New Roman" w:cs="Times New Roman"/>
          <w:b/>
          <w:sz w:val="24"/>
          <w:szCs w:val="24"/>
        </w:rPr>
        <w:t>Thời kỳ mang thai</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Nghiên cứu thực nghiệm trên quá trình sinh sản của chuột đã chứng minh khi dùng chế phấm theo đường uống và tiêm với liều lớn hơn 10 lần liều dùng cho người đều không gây dị dạng. Tuy nhiên, vì còn ít kinh nghiệm về dùng chế phấm cho người mang thai, nên cần tránh sử</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dụng thuốc ở người mang thai nhất là trong 3 tháng đầu, trừ trường hợp cần thiết do thầy thuốc chỉ định.</w:t>
      </w:r>
    </w:p>
    <w:p w:rsidR="006D099C" w:rsidRPr="00E14141" w:rsidRDefault="006D099C" w:rsidP="00E14141">
      <w:pPr>
        <w:pStyle w:val="ListParagraph"/>
        <w:numPr>
          <w:ilvl w:val="0"/>
          <w:numId w:val="1"/>
        </w:numPr>
        <w:rPr>
          <w:rFonts w:ascii="Times New Roman" w:hAnsi="Times New Roman" w:cs="Times New Roman"/>
          <w:b/>
          <w:sz w:val="24"/>
          <w:szCs w:val="24"/>
        </w:rPr>
      </w:pPr>
      <w:r w:rsidRPr="00E14141">
        <w:rPr>
          <w:rFonts w:ascii="Times New Roman" w:hAnsi="Times New Roman" w:cs="Times New Roman"/>
          <w:b/>
          <w:sz w:val="24"/>
          <w:szCs w:val="24"/>
        </w:rPr>
        <w:t>Thời kỳ cho con bú</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Trong thời kỳ cho con bú có thể dùng chế phấm. Thuốc không gây hại cho trẻ đang bú mẹ trừ khi có nguy cơ bị mẫn cảm do có một lượng rất nhỏ thuốc trong sữa.</w:t>
      </w:r>
    </w:p>
    <w:p w:rsidR="006D099C" w:rsidRPr="00E14141" w:rsidRDefault="006D099C" w:rsidP="00E14141">
      <w:pPr>
        <w:pStyle w:val="ListParagraph"/>
        <w:numPr>
          <w:ilvl w:val="0"/>
          <w:numId w:val="1"/>
        </w:numPr>
        <w:rPr>
          <w:rFonts w:ascii="Times New Roman" w:hAnsi="Times New Roman" w:cs="Times New Roman"/>
          <w:sz w:val="24"/>
          <w:szCs w:val="24"/>
        </w:rPr>
      </w:pPr>
      <w:r w:rsidRPr="00E14141">
        <w:rPr>
          <w:rFonts w:ascii="Times New Roman" w:hAnsi="Times New Roman" w:cs="Times New Roman"/>
          <w:b/>
          <w:sz w:val="24"/>
          <w:szCs w:val="24"/>
        </w:rPr>
        <w:t>Tác dụng không mong muốn (ADR</w:t>
      </w:r>
      <w:r w:rsidRPr="00E14141">
        <w:rPr>
          <w:rFonts w:ascii="Times New Roman" w:hAnsi="Times New Roman" w:cs="Times New Roman"/>
          <w:sz w:val="24"/>
          <w:szCs w:val="24"/>
        </w:rPr>
        <w:t>)</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 xml:space="preserve">Các tác dụng không mong muốn thường có liên quan đến liều dùng. Khi dùng hỗn hợp amoxicilin và kali clavulanat, trừ tác dụng phụ trên đường tiêu hóa thường gặp với tần suất nhiều hơn, các tác dụng phụ khác nói chung xuất hiện với tần suất và mức độ tương tự như khi chỉ dùng đơn chất amoxicilin. Các tác dụng không mong muốn khi dùng hỗn hợp amoxicilin và kali </w:t>
      </w:r>
      <w:r w:rsidRPr="00381295">
        <w:rPr>
          <w:rFonts w:ascii="Times New Roman" w:hAnsi="Times New Roman" w:cs="Times New Roman"/>
          <w:sz w:val="24"/>
          <w:szCs w:val="24"/>
        </w:rPr>
        <w:lastRenderedPageBreak/>
        <w:t>clavulanat đường uống thường nhẹ và thoáng qua, chỉ dưới 3% người bệnh phải ngừng dùng thuốc.</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Thường gặp, ADR &gt; 1/100</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Tiêu hóa: Tiêu chảy (9%), buồn nôn, nôn (1 - 5%). Buồn nôn và nôn có liên quan đến liều dùng acid clavulanic (dùng liều 250 mg acid clavulanic tăng nguy cơ lên 40% so với dùng liều 125 mg). Da: Ngoại ban, ngứa (3%).</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Ít gặp, 1/1 000 &lt; ADR &lt; 1/100 Máu: Tăng bạch cầu ưa eosin.</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Gan: Viêm gan và vàng da ứ mật, tăng transaminase. Có thể nặng và kéo dài trong vài tháng.</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Khác: Viêm âm đạo do Candida, nhức đầu, sốt, mệt mỏi.</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Hiếm gặp, ADR &lt; 1/1 000</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Toàn thân: Phản ứng phản vệ, phù Quincke.</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Máu: Giảm nhẹ tiểu cầu, giảm bạch cầu, thiếu máu tan máu.</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Tiêu hóa: Viêm đại tràng có màng giả.</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Da: Hội chứng Stevens-Johnson, ban đỏ đa dạng, viêm da bong, hoại tử biểu bì do ngộ độc.</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Thận: Viêm thận kẽ.</w:t>
      </w:r>
    </w:p>
    <w:p w:rsidR="006D099C" w:rsidRPr="00E14141" w:rsidRDefault="006D099C" w:rsidP="00E14141">
      <w:pPr>
        <w:pStyle w:val="ListParagraph"/>
        <w:numPr>
          <w:ilvl w:val="0"/>
          <w:numId w:val="1"/>
        </w:numPr>
        <w:rPr>
          <w:rFonts w:ascii="Times New Roman" w:hAnsi="Times New Roman" w:cs="Times New Roman"/>
          <w:b/>
          <w:sz w:val="24"/>
          <w:szCs w:val="24"/>
        </w:rPr>
      </w:pPr>
      <w:r w:rsidRPr="00E14141">
        <w:rPr>
          <w:rFonts w:ascii="Times New Roman" w:hAnsi="Times New Roman" w:cs="Times New Roman"/>
          <w:b/>
          <w:sz w:val="24"/>
          <w:szCs w:val="24"/>
        </w:rPr>
        <w:t>Hướng dẫn cách xử trí ADR</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Nếu phản ứng dị ứng xảy ra như ban đỏ, phù Quincke, sốc phản vệ, hội chứng Stevens-Johnson, phải ngừng liệu pháp amoxicilin và ngay lập tức điều trị cấp cứu bằng adrenalin, thở oxygen, liệu pháp corticoid tiêm tĩnh mạch và thông khí, kể cả đặt nội khí quản và không bao giờ được điều trị bằng penicilin hoặc cephalosporin nữa.</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Viêm đại tràng có màng giả: Nếu nhẹ: Ngừng thuốc; nếu nặng (khả năng do Clostridium difficile): Bồi phụ nước và điện giải, dùng kháng sinh chống Clostridium (metronidazol, vancomycin</w:t>
      </w:r>
    </w:p>
    <w:p w:rsidR="006D099C" w:rsidRPr="00E14141" w:rsidRDefault="006D099C" w:rsidP="00E14141">
      <w:pPr>
        <w:pStyle w:val="ListParagraph"/>
        <w:numPr>
          <w:ilvl w:val="0"/>
          <w:numId w:val="1"/>
        </w:numPr>
        <w:rPr>
          <w:rFonts w:ascii="Times New Roman" w:hAnsi="Times New Roman" w:cs="Times New Roman"/>
          <w:b/>
          <w:sz w:val="24"/>
          <w:szCs w:val="24"/>
        </w:rPr>
      </w:pPr>
      <w:r w:rsidRPr="00E14141">
        <w:rPr>
          <w:rFonts w:ascii="Times New Roman" w:hAnsi="Times New Roman" w:cs="Times New Roman"/>
          <w:b/>
          <w:sz w:val="24"/>
          <w:szCs w:val="24"/>
        </w:rPr>
        <w:t>Liều lượng và cách dùng Liều lượng:</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Dạng uống:</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Liều người lớn và trẻ em trên 40 kg:</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 xml:space="preserve"> 1 viên 500 mg (500 mg/125 mg) cách 8 giờ/lần.</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Đối với nhiễm khuấn nặng và nhiễm khuấn đường hô hấp: 1 viên 500 mg (500 mg/125 mg) cách 8 giờ/lần hoặc Người cao tuổi: Không cần điều chỉnh liều trừ khi độ thanh thải creatinin &lt; 30 ml/phút.</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Liều trẻ em dưới 40 kg cân nặng:</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Trẻ em dưới 40 kg cân nặng liều tối đa hằng ngày 2400mg amoxicilin và 600 mg acid clavulanic</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lastRenderedPageBreak/>
        <w:t>20mg/5mg/kg/ ngày đến 60mg/15mg/kg/ ngày chia 3 liều.</w:t>
      </w:r>
    </w:p>
    <w:p w:rsidR="006D099C" w:rsidRPr="00E14141" w:rsidRDefault="006D099C" w:rsidP="00E14141">
      <w:pPr>
        <w:pStyle w:val="ListParagraph"/>
        <w:numPr>
          <w:ilvl w:val="0"/>
          <w:numId w:val="1"/>
        </w:numPr>
        <w:rPr>
          <w:rFonts w:ascii="Times New Roman" w:hAnsi="Times New Roman" w:cs="Times New Roman"/>
          <w:b/>
          <w:sz w:val="24"/>
          <w:szCs w:val="24"/>
        </w:rPr>
      </w:pPr>
      <w:r w:rsidRPr="00E14141">
        <w:rPr>
          <w:rFonts w:ascii="Times New Roman" w:hAnsi="Times New Roman" w:cs="Times New Roman"/>
          <w:b/>
          <w:sz w:val="24"/>
          <w:szCs w:val="24"/>
        </w:rPr>
        <w:t>Quá liều và xử trí</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Triệu chứng: Đau bụng, nôn và tiêu chảy. Một số ít người bệnh bị phát ban, tăng kích động hoặc ngủ lơ mơ.</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Xử trí: Cần ngừng thuốc ngay. Điều trị triệu chứng và hỗ trợ nếu cần. Nếu quá liều xảy ra sớm và không có chống chỉ định, có thể gây nôn hoặc rửa dạ dày. Quá liều dưới 250 mg/kg không gây triệu chứng gì đặc biệt và không cần làm sạch dạ dày. Viêm thận kẽ dẫn đến suy thận thiểu niệu đã xảy ra ở một số ít người bệnh dùng quá liều amoxicilin. Đái ra tinh thể trong một số trường hợp dẫn đến suy thận đã được báo cáo sau quá liều amoxicilin ở người lớn và trẻ em. Cần cung cấp đủ nước và điện giải cho cơ thể để duy trì bài niệu và giảm nguy cơ đái ra tinh thể.</w:t>
      </w:r>
    </w:p>
    <w:p w:rsidR="006D099C" w:rsidRPr="00381295" w:rsidRDefault="006D099C" w:rsidP="006D099C">
      <w:pPr>
        <w:rPr>
          <w:rFonts w:ascii="Times New Roman" w:hAnsi="Times New Roman" w:cs="Times New Roman"/>
          <w:sz w:val="24"/>
          <w:szCs w:val="24"/>
        </w:rPr>
      </w:pPr>
      <w:r w:rsidRPr="00381295">
        <w:rPr>
          <w:rFonts w:ascii="Times New Roman" w:hAnsi="Times New Roman" w:cs="Times New Roman"/>
          <w:sz w:val="24"/>
          <w:szCs w:val="24"/>
        </w:rPr>
        <w:t>Tổn thương thận thường phục hồi sau khi ngừng thuốc. Tăng huyết áp có thể xảy ra ngay ở người có chức năng thận tổn thương do giảm đào thải cả amoxicilin và acid clavulanic. Có thể dùng phương pháp thấm phân máu để loại bỏ cả amoxicilin và acid clavulanic ra khỏi tuần hoàn.</w:t>
      </w:r>
    </w:p>
    <w:p w:rsidR="006D099C" w:rsidRPr="00381295" w:rsidRDefault="006D099C" w:rsidP="006D099C">
      <w:pPr>
        <w:rPr>
          <w:rFonts w:ascii="Times New Roman" w:hAnsi="Times New Roman" w:cs="Times New Roman"/>
          <w:sz w:val="24"/>
          <w:szCs w:val="24"/>
        </w:rPr>
      </w:pPr>
    </w:p>
    <w:p w:rsidR="00A80B71" w:rsidRPr="00216112" w:rsidRDefault="00216112" w:rsidP="00216112">
      <w:pPr>
        <w:jc w:val="right"/>
        <w:rPr>
          <w:rFonts w:ascii="Times New Roman" w:hAnsi="Times New Roman" w:cs="Times New Roman"/>
          <w:i/>
          <w:sz w:val="24"/>
          <w:szCs w:val="24"/>
        </w:rPr>
      </w:pPr>
      <w:r w:rsidRPr="00216112">
        <w:rPr>
          <w:rFonts w:ascii="Times New Roman" w:hAnsi="Times New Roman" w:cs="Times New Roman"/>
          <w:i/>
          <w:sz w:val="24"/>
          <w:szCs w:val="24"/>
        </w:rPr>
        <w:t>Lệ Thủy, ngày 21 tháng 02 năm 2024</w:t>
      </w:r>
    </w:p>
    <w:p w:rsidR="00216112" w:rsidRPr="00216112" w:rsidRDefault="00216112">
      <w:pPr>
        <w:rPr>
          <w:rFonts w:ascii="Times New Roman" w:hAnsi="Times New Roman" w:cs="Times New Roman"/>
          <w:b/>
          <w:sz w:val="24"/>
          <w:szCs w:val="24"/>
        </w:rPr>
      </w:pPr>
      <w:r>
        <w:rPr>
          <w:rFonts w:ascii="Times New Roman" w:hAnsi="Times New Roman" w:cs="Times New Roman"/>
          <w:sz w:val="24"/>
          <w:szCs w:val="24"/>
        </w:rPr>
        <w:t xml:space="preserve">                                                                                                                     </w:t>
      </w:r>
      <w:r w:rsidRPr="00216112">
        <w:rPr>
          <w:rFonts w:ascii="Times New Roman" w:hAnsi="Times New Roman" w:cs="Times New Roman"/>
          <w:b/>
          <w:sz w:val="24"/>
          <w:szCs w:val="24"/>
        </w:rPr>
        <w:t>Người thông tin</w:t>
      </w:r>
    </w:p>
    <w:p w:rsidR="00216112" w:rsidRDefault="00216112">
      <w:pPr>
        <w:rPr>
          <w:rFonts w:ascii="Times New Roman" w:hAnsi="Times New Roman" w:cs="Times New Roman"/>
          <w:sz w:val="24"/>
          <w:szCs w:val="24"/>
        </w:rPr>
      </w:pPr>
    </w:p>
    <w:p w:rsidR="00216112" w:rsidRDefault="00216112">
      <w:pPr>
        <w:rPr>
          <w:rFonts w:ascii="Times New Roman" w:hAnsi="Times New Roman" w:cs="Times New Roman"/>
          <w:sz w:val="24"/>
          <w:szCs w:val="24"/>
        </w:rPr>
      </w:pPr>
    </w:p>
    <w:p w:rsidR="00216112" w:rsidRDefault="00216112">
      <w:pPr>
        <w:rPr>
          <w:rFonts w:ascii="Times New Roman" w:hAnsi="Times New Roman" w:cs="Times New Roman"/>
          <w:sz w:val="24"/>
          <w:szCs w:val="24"/>
        </w:rPr>
      </w:pPr>
    </w:p>
    <w:p w:rsidR="00216112" w:rsidRDefault="00216112">
      <w:pPr>
        <w:rPr>
          <w:rFonts w:ascii="Times New Roman" w:hAnsi="Times New Roman" w:cs="Times New Roman"/>
          <w:sz w:val="24"/>
          <w:szCs w:val="24"/>
        </w:rPr>
      </w:pPr>
    </w:p>
    <w:p w:rsidR="00216112" w:rsidRPr="00381295" w:rsidRDefault="00216112">
      <w:pPr>
        <w:rPr>
          <w:rFonts w:ascii="Times New Roman" w:hAnsi="Times New Roman" w:cs="Times New Roman"/>
          <w:sz w:val="24"/>
          <w:szCs w:val="24"/>
        </w:rPr>
      </w:pPr>
      <w:r>
        <w:rPr>
          <w:rFonts w:ascii="Times New Roman" w:hAnsi="Times New Roman" w:cs="Times New Roman"/>
          <w:sz w:val="24"/>
          <w:szCs w:val="24"/>
        </w:rPr>
        <w:t xml:space="preserve">                                                                                                              Ds. Diệp Thị Minh Tuyết</w:t>
      </w:r>
    </w:p>
    <w:sectPr w:rsidR="00216112" w:rsidRPr="00381295">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33F" w:rsidRDefault="00B8233F" w:rsidP="00C43D87">
      <w:pPr>
        <w:spacing w:after="0" w:line="240" w:lineRule="auto"/>
      </w:pPr>
      <w:r>
        <w:separator/>
      </w:r>
    </w:p>
  </w:endnote>
  <w:endnote w:type="continuationSeparator" w:id="0">
    <w:p w:rsidR="00B8233F" w:rsidRDefault="00B8233F" w:rsidP="00C43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5287041"/>
      <w:docPartObj>
        <w:docPartGallery w:val="Page Numbers (Bottom of Page)"/>
        <w:docPartUnique/>
      </w:docPartObj>
    </w:sdtPr>
    <w:sdtEndPr>
      <w:rPr>
        <w:noProof/>
      </w:rPr>
    </w:sdtEndPr>
    <w:sdtContent>
      <w:p w:rsidR="00C43D87" w:rsidRDefault="00C43D87">
        <w:pPr>
          <w:pStyle w:val="Footer"/>
          <w:jc w:val="right"/>
        </w:pPr>
        <w:r>
          <w:fldChar w:fldCharType="begin"/>
        </w:r>
        <w:r>
          <w:instrText xml:space="preserve"> PAGE   \* MERGEFORMAT </w:instrText>
        </w:r>
        <w:r>
          <w:fldChar w:fldCharType="separate"/>
        </w:r>
        <w:r w:rsidR="00690FE4">
          <w:rPr>
            <w:noProof/>
          </w:rPr>
          <w:t>2</w:t>
        </w:r>
        <w:r>
          <w:rPr>
            <w:noProof/>
          </w:rPr>
          <w:fldChar w:fldCharType="end"/>
        </w:r>
      </w:p>
    </w:sdtContent>
  </w:sdt>
  <w:p w:rsidR="00C43D87" w:rsidRDefault="00C43D8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33F" w:rsidRDefault="00B8233F" w:rsidP="00C43D87">
      <w:pPr>
        <w:spacing w:after="0" w:line="240" w:lineRule="auto"/>
      </w:pPr>
      <w:r>
        <w:separator/>
      </w:r>
    </w:p>
  </w:footnote>
  <w:footnote w:type="continuationSeparator" w:id="0">
    <w:p w:rsidR="00B8233F" w:rsidRDefault="00B8233F" w:rsidP="00C43D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D87" w:rsidRDefault="00C43D87" w:rsidP="00690FE4">
    <w:pPr>
      <w:pStyle w:val="Header"/>
    </w:pPr>
  </w:p>
  <w:p w:rsidR="00C43D87" w:rsidRDefault="00C43D8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8517F"/>
    <w:multiLevelType w:val="hybridMultilevel"/>
    <w:tmpl w:val="7F068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99C"/>
    <w:rsid w:val="00216112"/>
    <w:rsid w:val="00381295"/>
    <w:rsid w:val="00690FE4"/>
    <w:rsid w:val="006D099C"/>
    <w:rsid w:val="00A80B71"/>
    <w:rsid w:val="00B8233F"/>
    <w:rsid w:val="00C43D87"/>
    <w:rsid w:val="00D54C4C"/>
    <w:rsid w:val="00E14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95755F"/>
  <w15:chartTrackingRefBased/>
  <w15:docId w15:val="{D660E006-5101-4423-BBED-6A3F50CA5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4141"/>
    <w:pPr>
      <w:ind w:left="720"/>
      <w:contextualSpacing/>
    </w:pPr>
  </w:style>
  <w:style w:type="paragraph" w:styleId="Header">
    <w:name w:val="header"/>
    <w:basedOn w:val="Normal"/>
    <w:link w:val="HeaderChar"/>
    <w:uiPriority w:val="99"/>
    <w:unhideWhenUsed/>
    <w:rsid w:val="00C43D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D87"/>
  </w:style>
  <w:style w:type="paragraph" w:styleId="Footer">
    <w:name w:val="footer"/>
    <w:basedOn w:val="Normal"/>
    <w:link w:val="FooterChar"/>
    <w:uiPriority w:val="99"/>
    <w:unhideWhenUsed/>
    <w:rsid w:val="00C43D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D87"/>
  </w:style>
  <w:style w:type="paragraph" w:styleId="BalloonText">
    <w:name w:val="Balloon Text"/>
    <w:basedOn w:val="Normal"/>
    <w:link w:val="BalloonTextChar"/>
    <w:uiPriority w:val="99"/>
    <w:semiHidden/>
    <w:unhideWhenUsed/>
    <w:rsid w:val="00690F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0F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902"/>
    <w:rsid w:val="00E03902"/>
    <w:rsid w:val="00F978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B423A3AFB724C01A11B72307482357D">
    <w:name w:val="BB423A3AFB724C01A11B72307482357D"/>
    <w:rsid w:val="00E039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10</Pages>
  <Words>3423</Words>
  <Characters>19514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TINHOCBAYEN</cp:lastModifiedBy>
  <cp:revision>7</cp:revision>
  <cp:lastPrinted>2024-11-07T03:06:00Z</cp:lastPrinted>
  <dcterms:created xsi:type="dcterms:W3CDTF">2023-02-07T09:04:00Z</dcterms:created>
  <dcterms:modified xsi:type="dcterms:W3CDTF">2024-11-07T03:07:00Z</dcterms:modified>
</cp:coreProperties>
</file>